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E9137" w14:textId="226BB603" w:rsidR="00E97255" w:rsidRDefault="001C2D1E">
      <w:pPr>
        <w:rPr>
          <w:noProof/>
        </w:rPr>
      </w:pPr>
      <w:r>
        <w:rPr>
          <w:noProof/>
        </w:rPr>
        <w:drawing>
          <wp:anchor distT="0" distB="0" distL="114300" distR="114300" simplePos="0" relativeHeight="251658240" behindDoc="0" locked="0" layoutInCell="1" allowOverlap="1" wp14:anchorId="256F6985" wp14:editId="0AD8B71D">
            <wp:simplePos x="0" y="0"/>
            <wp:positionH relativeFrom="margin">
              <wp:align>left</wp:align>
            </wp:positionH>
            <wp:positionV relativeFrom="paragraph">
              <wp:posOffset>12065</wp:posOffset>
            </wp:positionV>
            <wp:extent cx="2560210" cy="2609850"/>
            <wp:effectExtent l="0" t="0" r="0" b="0"/>
            <wp:wrapNone/>
            <wp:docPr id="5" name="Picture 5" descr="A picture containing sitting, small, table, lay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sitting, small, table, lay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60210" cy="2609850"/>
                    </a:xfrm>
                    <a:prstGeom prst="rect">
                      <a:avLst/>
                    </a:prstGeom>
                  </pic:spPr>
                </pic:pic>
              </a:graphicData>
            </a:graphic>
            <wp14:sizeRelH relativeFrom="margin">
              <wp14:pctWidth>0</wp14:pctWidth>
            </wp14:sizeRelH>
            <wp14:sizeRelV relativeFrom="margin">
              <wp14:pctHeight>0</wp14:pctHeight>
            </wp14:sizeRelV>
          </wp:anchor>
        </w:drawing>
      </w:r>
    </w:p>
    <w:p w14:paraId="0EE4D7C2" w14:textId="18D1E007" w:rsidR="002934C8" w:rsidRPr="00CE0CFC" w:rsidRDefault="002934C8">
      <w:pPr>
        <w:rPr>
          <w:b/>
          <w:bCs/>
          <w:sz w:val="40"/>
          <w:szCs w:val="40"/>
        </w:rPr>
      </w:pPr>
    </w:p>
    <w:p w14:paraId="379B0634" w14:textId="64DF1300" w:rsidR="001C2D1E" w:rsidRDefault="001C2D1E">
      <w:pPr>
        <w:rPr>
          <w:b/>
          <w:bCs/>
        </w:rPr>
      </w:pPr>
    </w:p>
    <w:p w14:paraId="1928D5F8" w14:textId="77777777" w:rsidR="001C2D1E" w:rsidRDefault="001C2D1E">
      <w:pPr>
        <w:rPr>
          <w:b/>
          <w:bCs/>
        </w:rPr>
      </w:pPr>
    </w:p>
    <w:p w14:paraId="3635A381" w14:textId="77777777" w:rsidR="001C2D1E" w:rsidRDefault="001C2D1E">
      <w:pPr>
        <w:rPr>
          <w:b/>
          <w:bCs/>
        </w:rPr>
      </w:pPr>
    </w:p>
    <w:p w14:paraId="7F82E5B4" w14:textId="77777777" w:rsidR="001C2D1E" w:rsidRDefault="001C2D1E">
      <w:pPr>
        <w:rPr>
          <w:b/>
          <w:bCs/>
        </w:rPr>
      </w:pPr>
    </w:p>
    <w:p w14:paraId="0108F6E7" w14:textId="13A069E5" w:rsidR="001C2D1E" w:rsidRDefault="001C2D1E">
      <w:pPr>
        <w:rPr>
          <w:b/>
          <w:bCs/>
        </w:rPr>
      </w:pPr>
    </w:p>
    <w:p w14:paraId="7B1E8EA9" w14:textId="77777777" w:rsidR="001C2D1E" w:rsidRDefault="001C2D1E">
      <w:pPr>
        <w:rPr>
          <w:b/>
          <w:bCs/>
        </w:rPr>
      </w:pPr>
    </w:p>
    <w:p w14:paraId="52E23397" w14:textId="77777777" w:rsidR="001C2D1E" w:rsidRDefault="001C2D1E">
      <w:pPr>
        <w:rPr>
          <w:b/>
          <w:bCs/>
        </w:rPr>
      </w:pPr>
    </w:p>
    <w:p w14:paraId="3B5389A8" w14:textId="5E53E0C1" w:rsidR="00CE0CFC" w:rsidRDefault="00CE0CFC">
      <w:r w:rsidRPr="00A62393">
        <w:rPr>
          <w:b/>
          <w:bCs/>
        </w:rPr>
        <w:t>ROMPOX® - D4000 HR</w:t>
      </w:r>
      <w:r>
        <w:t xml:space="preserve"> is a 2-component epoxy resin repair mortar. This mortar is used for friction locked crack sealing and to repair edges or broken areas. Thanks to the high reactivity of the product, the surface can be re-opened to traffic very quickly. An application temperature of up to -10 °C | 14 °F makes this product unique. Whether for road damage, holes, breakage on curbs or around manhole covers or cracks in floor coatings: the unique repair mortar ROMPOX® - D4000 HR can be used all year round, even at minus temperatures.</w:t>
      </w:r>
    </w:p>
    <w:p w14:paraId="5E0B4FAF" w14:textId="4398912D" w:rsidR="00CE0CFC" w:rsidRPr="00A62393" w:rsidRDefault="00CE0CFC" w:rsidP="00CA40F1">
      <w:pPr>
        <w:spacing w:after="0"/>
        <w:rPr>
          <w:b/>
          <w:bCs/>
          <w:sz w:val="24"/>
          <w:szCs w:val="24"/>
          <w:u w:val="single"/>
        </w:rPr>
      </w:pPr>
      <w:r w:rsidRPr="00A62393">
        <w:rPr>
          <w:b/>
          <w:bCs/>
          <w:sz w:val="24"/>
          <w:szCs w:val="24"/>
          <w:u w:val="single"/>
        </w:rPr>
        <w:t xml:space="preserve">Consumption Rates: </w:t>
      </w:r>
    </w:p>
    <w:p w14:paraId="6CB53E47" w14:textId="77777777" w:rsidR="00CA40F1" w:rsidRDefault="00DD5C74" w:rsidP="00CA40F1">
      <w:pPr>
        <w:spacing w:after="0" w:line="276" w:lineRule="auto"/>
      </w:pPr>
      <w:r w:rsidRPr="00CE0CFC">
        <w:rPr>
          <w:b/>
          <w:bCs/>
        </w:rPr>
        <w:t>Contents</w:t>
      </w:r>
      <w:r>
        <w:t xml:space="preserve">: 2.5 lbs resin + 2.5 lbs of hardener + 40 lbs of sand </w:t>
      </w:r>
      <w:r w:rsidR="00CE0CFC">
        <w:t xml:space="preserve"> </w:t>
      </w:r>
    </w:p>
    <w:p w14:paraId="72B42A0D" w14:textId="3773B360" w:rsidR="00153D9F" w:rsidRPr="00A62393" w:rsidRDefault="00153D9F" w:rsidP="00CA40F1">
      <w:pPr>
        <w:spacing w:after="0" w:line="276" w:lineRule="auto"/>
      </w:pPr>
      <w:r w:rsidRPr="00153D9F">
        <w:rPr>
          <w:b/>
          <w:bCs/>
          <w:sz w:val="24"/>
          <w:szCs w:val="24"/>
          <w:u w:val="single"/>
        </w:rPr>
        <w:t xml:space="preserve">Features and Benefits </w:t>
      </w:r>
    </w:p>
    <w:p w14:paraId="0C07B32B" w14:textId="77777777" w:rsidR="00153D9F" w:rsidRDefault="00153D9F" w:rsidP="00A62393">
      <w:pPr>
        <w:spacing w:after="0"/>
      </w:pPr>
      <w:r w:rsidRPr="00153D9F">
        <w:t xml:space="preserve">• for the repair of edges/broken areas </w:t>
      </w:r>
    </w:p>
    <w:p w14:paraId="5E3260E0" w14:textId="77777777" w:rsidR="00153D9F" w:rsidRDefault="00153D9F" w:rsidP="00A62393">
      <w:pPr>
        <w:spacing w:after="0"/>
      </w:pPr>
      <w:r w:rsidRPr="00153D9F">
        <w:t xml:space="preserve">• for surface depths from 10 mm | 3 ⁄8“ </w:t>
      </w:r>
    </w:p>
    <w:p w14:paraId="77AFA180" w14:textId="3701E170" w:rsidR="00153D9F" w:rsidRDefault="00153D9F" w:rsidP="00A62393">
      <w:pPr>
        <w:spacing w:after="0"/>
      </w:pPr>
      <w:r w:rsidRPr="00153D9F">
        <w:t xml:space="preserve">• weed &amp; ant resistant </w:t>
      </w:r>
    </w:p>
    <w:p w14:paraId="7C60E1BA" w14:textId="77777777" w:rsidR="00153D9F" w:rsidRDefault="00153D9F" w:rsidP="00A62393">
      <w:pPr>
        <w:spacing w:after="0"/>
      </w:pPr>
      <w:r w:rsidRPr="00153D9F">
        <w:t xml:space="preserve">• high strength </w:t>
      </w:r>
    </w:p>
    <w:p w14:paraId="1542E12A" w14:textId="77777777" w:rsidR="00153D9F" w:rsidRDefault="00153D9F" w:rsidP="00A62393">
      <w:pPr>
        <w:spacing w:after="0"/>
      </w:pPr>
      <w:r w:rsidRPr="00153D9F">
        <w:t xml:space="preserve">• for friction locked pouring of cracks </w:t>
      </w:r>
    </w:p>
    <w:p w14:paraId="32351A8D" w14:textId="0356E0FC" w:rsidR="00153D9F" w:rsidRDefault="00153D9F" w:rsidP="00A62393">
      <w:pPr>
        <w:spacing w:after="0"/>
      </w:pPr>
      <w:r w:rsidRPr="00153D9F">
        <w:t xml:space="preserve">• for treatment of sinkholes and faulty areas </w:t>
      </w:r>
    </w:p>
    <w:p w14:paraId="30D9D3C3" w14:textId="25882330" w:rsidR="00153D9F" w:rsidRDefault="00153D9F" w:rsidP="00CA40F1">
      <w:pPr>
        <w:spacing w:after="0" w:line="360" w:lineRule="auto"/>
      </w:pPr>
      <w:r w:rsidRPr="00153D9F">
        <w:t>• quick re-opening to traffic</w:t>
      </w:r>
    </w:p>
    <w:p w14:paraId="01D5DF76" w14:textId="77777777" w:rsidR="001C2D1E" w:rsidRDefault="00CA40F1" w:rsidP="001C2D1E">
      <w:pPr>
        <w:spacing w:after="0" w:line="360" w:lineRule="auto"/>
        <w:rPr>
          <w:sz w:val="24"/>
          <w:szCs w:val="24"/>
        </w:rPr>
      </w:pPr>
      <w:r w:rsidRPr="00CA40F1">
        <w:rPr>
          <w:b/>
          <w:bCs/>
          <w:sz w:val="24"/>
          <w:szCs w:val="24"/>
        </w:rPr>
        <w:t>Pricing</w:t>
      </w:r>
      <w:r w:rsidR="001C2D1E">
        <w:rPr>
          <w:b/>
          <w:bCs/>
          <w:sz w:val="24"/>
          <w:szCs w:val="24"/>
        </w:rPr>
        <w:t xml:space="preserve"> (Inc Sand)</w:t>
      </w:r>
      <w:r w:rsidRPr="00CA40F1">
        <w:rPr>
          <w:b/>
          <w:bCs/>
          <w:sz w:val="24"/>
          <w:szCs w:val="24"/>
        </w:rPr>
        <w:t>:</w:t>
      </w:r>
      <w:r w:rsidRPr="00CA40F1">
        <w:rPr>
          <w:sz w:val="24"/>
          <w:szCs w:val="24"/>
        </w:rPr>
        <w:t xml:space="preserve"> </w:t>
      </w:r>
    </w:p>
    <w:p w14:paraId="011AF6B6" w14:textId="1B1F91F6" w:rsidR="00CA40F1" w:rsidRPr="00CA40F1" w:rsidRDefault="00E97255" w:rsidP="001C2D1E">
      <w:pPr>
        <w:spacing w:after="0" w:line="360" w:lineRule="auto"/>
        <w:rPr>
          <w:sz w:val="24"/>
          <w:szCs w:val="24"/>
        </w:rPr>
      </w:pPr>
      <w:r>
        <w:t>Contractor -</w:t>
      </w:r>
      <w:r w:rsidR="00CA40F1" w:rsidRPr="00CA40F1">
        <w:t xml:space="preserve"> $</w:t>
      </w:r>
      <w:r w:rsidR="001C2D1E">
        <w:t>2</w:t>
      </w:r>
      <w:r w:rsidR="00DA15A3">
        <w:t>21</w:t>
      </w:r>
      <w:r w:rsidR="00CA40F1" w:rsidRPr="00CA40F1">
        <w:t>.</w:t>
      </w:r>
      <w:r w:rsidR="00DA15A3">
        <w:t>26</w:t>
      </w:r>
      <w:r w:rsidR="00CA40F1" w:rsidRPr="00CA40F1">
        <w:t xml:space="preserve"> /</w:t>
      </w:r>
      <w:r>
        <w:t xml:space="preserve"> Retail -</w:t>
      </w:r>
      <w:r w:rsidR="00CA40F1" w:rsidRPr="00CA40F1">
        <w:t xml:space="preserve"> $2</w:t>
      </w:r>
      <w:r w:rsidR="00DA15A3">
        <w:t>44.18</w:t>
      </w:r>
    </w:p>
    <w:p w14:paraId="72BABE14" w14:textId="77777777" w:rsidR="00CA40F1" w:rsidRDefault="00CA40F1" w:rsidP="00A62393">
      <w:pPr>
        <w:spacing w:after="0"/>
      </w:pPr>
    </w:p>
    <w:p w14:paraId="0958BE03" w14:textId="79E7DBCF" w:rsidR="00DD5C74" w:rsidRPr="00E97255" w:rsidRDefault="00A62393">
      <w:pPr>
        <w:rPr>
          <w:b/>
          <w:bCs/>
          <w:sz w:val="24"/>
          <w:szCs w:val="24"/>
          <w:u w:val="single"/>
        </w:rPr>
      </w:pPr>
      <w:r w:rsidRPr="00E97255">
        <w:rPr>
          <w:b/>
          <w:bCs/>
          <w:sz w:val="24"/>
          <w:szCs w:val="24"/>
          <w:u w:val="single"/>
        </w:rPr>
        <w:t>Technic</w:t>
      </w:r>
      <w:r w:rsidR="000357ED" w:rsidRPr="00E97255">
        <w:rPr>
          <w:b/>
          <w:bCs/>
          <w:sz w:val="24"/>
          <w:szCs w:val="24"/>
          <w:u w:val="single"/>
        </w:rPr>
        <w:t xml:space="preserve">al Data </w:t>
      </w:r>
    </w:p>
    <w:tbl>
      <w:tblPr>
        <w:tblStyle w:val="TableGrid"/>
        <w:tblW w:w="0" w:type="auto"/>
        <w:tblLook w:val="04A0" w:firstRow="1" w:lastRow="0" w:firstColumn="1" w:lastColumn="0" w:noHBand="0" w:noVBand="1"/>
      </w:tblPr>
      <w:tblGrid>
        <w:gridCol w:w="1761"/>
        <w:gridCol w:w="1265"/>
        <w:gridCol w:w="1290"/>
      </w:tblGrid>
      <w:tr w:rsidR="00A62393" w14:paraId="0A855431" w14:textId="77777777" w:rsidTr="000357ED">
        <w:tc>
          <w:tcPr>
            <w:tcW w:w="1838" w:type="dxa"/>
          </w:tcPr>
          <w:p w14:paraId="5F489BA5" w14:textId="5709849A" w:rsidR="00A62393" w:rsidRPr="00CA40F1" w:rsidRDefault="000357ED">
            <w:pPr>
              <w:rPr>
                <w:b/>
                <w:bCs/>
                <w:sz w:val="20"/>
                <w:szCs w:val="20"/>
              </w:rPr>
            </w:pPr>
            <w:r w:rsidRPr="00CA40F1">
              <w:rPr>
                <w:b/>
                <w:bCs/>
                <w:sz w:val="20"/>
                <w:szCs w:val="20"/>
              </w:rPr>
              <w:t xml:space="preserve">System </w:t>
            </w:r>
          </w:p>
        </w:tc>
        <w:tc>
          <w:tcPr>
            <w:tcW w:w="1104" w:type="dxa"/>
          </w:tcPr>
          <w:p w14:paraId="7F87E553" w14:textId="77777777" w:rsidR="00A62393" w:rsidRPr="00CA40F1" w:rsidRDefault="00A62393">
            <w:pPr>
              <w:rPr>
                <w:b/>
                <w:bCs/>
                <w:sz w:val="20"/>
                <w:szCs w:val="20"/>
              </w:rPr>
            </w:pPr>
          </w:p>
        </w:tc>
        <w:tc>
          <w:tcPr>
            <w:tcW w:w="1374" w:type="dxa"/>
          </w:tcPr>
          <w:p w14:paraId="1B759FEF" w14:textId="77777777" w:rsidR="00A62393" w:rsidRPr="00CA40F1" w:rsidRDefault="00A62393">
            <w:pPr>
              <w:rPr>
                <w:b/>
                <w:bCs/>
                <w:sz w:val="20"/>
                <w:szCs w:val="20"/>
              </w:rPr>
            </w:pPr>
          </w:p>
        </w:tc>
      </w:tr>
      <w:tr w:rsidR="00A62393" w14:paraId="13043308" w14:textId="77777777" w:rsidTr="00CA40F1">
        <w:trPr>
          <w:trHeight w:val="752"/>
        </w:trPr>
        <w:tc>
          <w:tcPr>
            <w:tcW w:w="1838" w:type="dxa"/>
          </w:tcPr>
          <w:p w14:paraId="37FB9067" w14:textId="19E750DE" w:rsidR="00A62393" w:rsidRPr="00CA40F1" w:rsidRDefault="000357ED">
            <w:pPr>
              <w:rPr>
                <w:b/>
                <w:bCs/>
                <w:sz w:val="20"/>
                <w:szCs w:val="20"/>
              </w:rPr>
            </w:pPr>
            <w:r w:rsidRPr="00CA40F1">
              <w:rPr>
                <w:b/>
                <w:bCs/>
                <w:sz w:val="20"/>
                <w:szCs w:val="20"/>
              </w:rPr>
              <w:t xml:space="preserve">Compressive Strength </w:t>
            </w:r>
          </w:p>
        </w:tc>
        <w:tc>
          <w:tcPr>
            <w:tcW w:w="1104" w:type="dxa"/>
          </w:tcPr>
          <w:p w14:paraId="48DF8686" w14:textId="7C1448BA" w:rsidR="00A62393" w:rsidRPr="00CA40F1" w:rsidRDefault="00CA40F1">
            <w:pPr>
              <w:rPr>
                <w:b/>
                <w:bCs/>
                <w:sz w:val="20"/>
                <w:szCs w:val="20"/>
              </w:rPr>
            </w:pPr>
            <w:r w:rsidRPr="00CA40F1">
              <w:rPr>
                <w:b/>
                <w:bCs/>
                <w:sz w:val="20"/>
                <w:szCs w:val="20"/>
              </w:rPr>
              <w:t xml:space="preserve">51.2 N/mm2 – 7426psi Building Site Value </w:t>
            </w:r>
          </w:p>
        </w:tc>
        <w:tc>
          <w:tcPr>
            <w:tcW w:w="1374" w:type="dxa"/>
          </w:tcPr>
          <w:p w14:paraId="4238AAFB" w14:textId="74A1082B" w:rsidR="00A62393" w:rsidRPr="00CA40F1" w:rsidRDefault="00CA40F1">
            <w:pPr>
              <w:rPr>
                <w:b/>
                <w:bCs/>
                <w:sz w:val="20"/>
                <w:szCs w:val="20"/>
              </w:rPr>
            </w:pPr>
            <w:r w:rsidRPr="00CA40F1">
              <w:rPr>
                <w:b/>
                <w:bCs/>
                <w:sz w:val="20"/>
                <w:szCs w:val="20"/>
              </w:rPr>
              <w:t xml:space="preserve">DIN </w:t>
            </w:r>
            <w:proofErr w:type="gramStart"/>
            <w:r w:rsidRPr="00CA40F1">
              <w:rPr>
                <w:b/>
                <w:bCs/>
                <w:sz w:val="20"/>
                <w:szCs w:val="20"/>
              </w:rPr>
              <w:t>1164 part</w:t>
            </w:r>
            <w:proofErr w:type="gramEnd"/>
            <w:r w:rsidRPr="00CA40F1">
              <w:rPr>
                <w:b/>
                <w:bCs/>
                <w:sz w:val="20"/>
                <w:szCs w:val="20"/>
              </w:rPr>
              <w:t xml:space="preserve"> 7</w:t>
            </w:r>
          </w:p>
        </w:tc>
      </w:tr>
      <w:tr w:rsidR="00A62393" w14:paraId="7B34F913" w14:textId="77777777" w:rsidTr="00CA40F1">
        <w:trPr>
          <w:trHeight w:val="568"/>
        </w:trPr>
        <w:tc>
          <w:tcPr>
            <w:tcW w:w="1838" w:type="dxa"/>
          </w:tcPr>
          <w:p w14:paraId="23267733" w14:textId="37B88FA8" w:rsidR="00A62393" w:rsidRPr="00CA40F1" w:rsidRDefault="000357ED">
            <w:pPr>
              <w:rPr>
                <w:b/>
                <w:bCs/>
                <w:sz w:val="20"/>
                <w:szCs w:val="20"/>
              </w:rPr>
            </w:pPr>
            <w:r w:rsidRPr="00CA40F1">
              <w:rPr>
                <w:b/>
                <w:bCs/>
                <w:sz w:val="20"/>
                <w:szCs w:val="20"/>
              </w:rPr>
              <w:t xml:space="preserve">Bending Tensile Strength </w:t>
            </w:r>
          </w:p>
        </w:tc>
        <w:tc>
          <w:tcPr>
            <w:tcW w:w="1104" w:type="dxa"/>
          </w:tcPr>
          <w:p w14:paraId="15B7A956" w14:textId="1366C29F" w:rsidR="00A62393" w:rsidRPr="00CA40F1" w:rsidRDefault="00CA40F1">
            <w:pPr>
              <w:rPr>
                <w:b/>
                <w:bCs/>
                <w:sz w:val="20"/>
                <w:szCs w:val="20"/>
              </w:rPr>
            </w:pPr>
            <w:r w:rsidRPr="00CA40F1">
              <w:rPr>
                <w:b/>
                <w:bCs/>
                <w:sz w:val="20"/>
                <w:szCs w:val="20"/>
              </w:rPr>
              <w:t xml:space="preserve">19.4 N/mm2 – 2,814psi Building Site Value </w:t>
            </w:r>
          </w:p>
        </w:tc>
        <w:tc>
          <w:tcPr>
            <w:tcW w:w="1374" w:type="dxa"/>
          </w:tcPr>
          <w:p w14:paraId="41E7F87F" w14:textId="40F2E654" w:rsidR="00A62393" w:rsidRPr="00CA40F1" w:rsidRDefault="00CA40F1">
            <w:pPr>
              <w:rPr>
                <w:b/>
                <w:bCs/>
                <w:sz w:val="20"/>
                <w:szCs w:val="20"/>
              </w:rPr>
            </w:pPr>
            <w:r w:rsidRPr="00CA40F1">
              <w:rPr>
                <w:b/>
                <w:bCs/>
                <w:sz w:val="20"/>
                <w:szCs w:val="20"/>
              </w:rPr>
              <w:t xml:space="preserve">DIN </w:t>
            </w:r>
            <w:proofErr w:type="gramStart"/>
            <w:r w:rsidRPr="00CA40F1">
              <w:rPr>
                <w:b/>
                <w:bCs/>
                <w:sz w:val="20"/>
                <w:szCs w:val="20"/>
              </w:rPr>
              <w:t>1164 part</w:t>
            </w:r>
            <w:proofErr w:type="gramEnd"/>
            <w:r w:rsidRPr="00CA40F1">
              <w:rPr>
                <w:b/>
                <w:bCs/>
                <w:sz w:val="20"/>
                <w:szCs w:val="20"/>
              </w:rPr>
              <w:t xml:space="preserve"> 7</w:t>
            </w:r>
          </w:p>
        </w:tc>
      </w:tr>
      <w:tr w:rsidR="00A62393" w14:paraId="406AB527" w14:textId="77777777" w:rsidTr="00CA40F1">
        <w:trPr>
          <w:trHeight w:val="527"/>
        </w:trPr>
        <w:tc>
          <w:tcPr>
            <w:tcW w:w="1838" w:type="dxa"/>
          </w:tcPr>
          <w:p w14:paraId="3A443F0B" w14:textId="41093D5C" w:rsidR="00A62393" w:rsidRPr="00CA40F1" w:rsidRDefault="000357ED">
            <w:pPr>
              <w:rPr>
                <w:b/>
                <w:bCs/>
                <w:sz w:val="20"/>
                <w:szCs w:val="20"/>
              </w:rPr>
            </w:pPr>
            <w:r w:rsidRPr="00CA40F1">
              <w:rPr>
                <w:b/>
                <w:bCs/>
                <w:sz w:val="20"/>
                <w:szCs w:val="20"/>
              </w:rPr>
              <w:t xml:space="preserve">Static Elasticity Module </w:t>
            </w:r>
          </w:p>
        </w:tc>
        <w:tc>
          <w:tcPr>
            <w:tcW w:w="1104" w:type="dxa"/>
          </w:tcPr>
          <w:p w14:paraId="67336D9F" w14:textId="1B5CC40A" w:rsidR="00A62393" w:rsidRPr="00CA40F1" w:rsidRDefault="00CA40F1">
            <w:pPr>
              <w:rPr>
                <w:b/>
                <w:bCs/>
                <w:sz w:val="20"/>
                <w:szCs w:val="20"/>
              </w:rPr>
            </w:pPr>
            <w:r w:rsidRPr="00CA40F1">
              <w:rPr>
                <w:b/>
                <w:bCs/>
                <w:sz w:val="20"/>
                <w:szCs w:val="20"/>
              </w:rPr>
              <w:t xml:space="preserve">8900 N/mm2 – 1,290,836psi Building Site Value </w:t>
            </w:r>
          </w:p>
        </w:tc>
        <w:tc>
          <w:tcPr>
            <w:tcW w:w="1374" w:type="dxa"/>
          </w:tcPr>
          <w:p w14:paraId="3B016ACB" w14:textId="42188DCC" w:rsidR="00A62393" w:rsidRPr="00CA40F1" w:rsidRDefault="00CA40F1">
            <w:pPr>
              <w:rPr>
                <w:b/>
                <w:bCs/>
                <w:sz w:val="20"/>
                <w:szCs w:val="20"/>
              </w:rPr>
            </w:pPr>
            <w:r w:rsidRPr="00CA40F1">
              <w:rPr>
                <w:b/>
                <w:bCs/>
                <w:sz w:val="20"/>
                <w:szCs w:val="20"/>
              </w:rPr>
              <w:t xml:space="preserve">DIN 1164 part 7 </w:t>
            </w:r>
          </w:p>
        </w:tc>
      </w:tr>
      <w:tr w:rsidR="00CA40F1" w14:paraId="17728FDB" w14:textId="77777777" w:rsidTr="00CA40F1">
        <w:trPr>
          <w:trHeight w:val="191"/>
        </w:trPr>
        <w:tc>
          <w:tcPr>
            <w:tcW w:w="1838" w:type="dxa"/>
          </w:tcPr>
          <w:p w14:paraId="74A55533" w14:textId="7F38AC67" w:rsidR="00CA40F1" w:rsidRPr="00CA40F1" w:rsidRDefault="00CA40F1">
            <w:pPr>
              <w:rPr>
                <w:b/>
                <w:bCs/>
                <w:sz w:val="20"/>
                <w:szCs w:val="20"/>
              </w:rPr>
            </w:pPr>
            <w:r w:rsidRPr="00CA40F1">
              <w:rPr>
                <w:b/>
                <w:bCs/>
                <w:sz w:val="20"/>
                <w:szCs w:val="20"/>
              </w:rPr>
              <w:t>Hard Mortar Raw Density</w:t>
            </w:r>
          </w:p>
        </w:tc>
        <w:tc>
          <w:tcPr>
            <w:tcW w:w="2478" w:type="dxa"/>
            <w:gridSpan w:val="2"/>
          </w:tcPr>
          <w:p w14:paraId="1043E345" w14:textId="2E430963" w:rsidR="00CA40F1" w:rsidRPr="00CA40F1" w:rsidRDefault="00CA40F1">
            <w:pPr>
              <w:rPr>
                <w:b/>
                <w:bCs/>
                <w:sz w:val="20"/>
                <w:szCs w:val="20"/>
              </w:rPr>
            </w:pPr>
            <w:r w:rsidRPr="00CA40F1">
              <w:rPr>
                <w:b/>
                <w:bCs/>
                <w:sz w:val="20"/>
                <w:szCs w:val="20"/>
              </w:rPr>
              <w:t xml:space="preserve">1.73 Kg/dm3 – 1.0 oz/in3 Building site value </w:t>
            </w:r>
          </w:p>
        </w:tc>
      </w:tr>
      <w:tr w:rsidR="00A62393" w14:paraId="1CFFA563" w14:textId="77777777" w:rsidTr="00CA40F1">
        <w:trPr>
          <w:trHeight w:val="70"/>
        </w:trPr>
        <w:tc>
          <w:tcPr>
            <w:tcW w:w="1838" w:type="dxa"/>
          </w:tcPr>
          <w:p w14:paraId="58B476FA" w14:textId="05BCA166" w:rsidR="00A62393" w:rsidRPr="00CA40F1" w:rsidRDefault="000357ED">
            <w:pPr>
              <w:rPr>
                <w:b/>
                <w:bCs/>
                <w:sz w:val="20"/>
                <w:szCs w:val="20"/>
              </w:rPr>
            </w:pPr>
            <w:r w:rsidRPr="00CA40F1">
              <w:rPr>
                <w:b/>
                <w:bCs/>
                <w:sz w:val="20"/>
                <w:szCs w:val="20"/>
              </w:rPr>
              <w:t>Application T</w:t>
            </w:r>
            <w:r w:rsidR="00F1447C">
              <w:rPr>
                <w:b/>
                <w:bCs/>
                <w:sz w:val="20"/>
                <w:szCs w:val="20"/>
              </w:rPr>
              <w:t xml:space="preserve">ime @ 20c / 68f </w:t>
            </w:r>
          </w:p>
        </w:tc>
        <w:tc>
          <w:tcPr>
            <w:tcW w:w="1104" w:type="dxa"/>
          </w:tcPr>
          <w:p w14:paraId="1E453E8C" w14:textId="28A03801" w:rsidR="00A62393" w:rsidRPr="00CA40F1" w:rsidRDefault="000357ED">
            <w:pPr>
              <w:rPr>
                <w:b/>
                <w:bCs/>
                <w:sz w:val="20"/>
                <w:szCs w:val="20"/>
              </w:rPr>
            </w:pPr>
            <w:r w:rsidRPr="00CA40F1">
              <w:rPr>
                <w:b/>
                <w:bCs/>
                <w:sz w:val="20"/>
                <w:szCs w:val="20"/>
              </w:rPr>
              <w:t xml:space="preserve">10-15 Minutes </w:t>
            </w:r>
          </w:p>
        </w:tc>
        <w:tc>
          <w:tcPr>
            <w:tcW w:w="1374" w:type="dxa"/>
          </w:tcPr>
          <w:p w14:paraId="617D3FA6" w14:textId="585540C9" w:rsidR="00A62393" w:rsidRPr="00CA40F1" w:rsidRDefault="000357ED">
            <w:pPr>
              <w:rPr>
                <w:b/>
                <w:bCs/>
                <w:sz w:val="20"/>
                <w:szCs w:val="20"/>
              </w:rPr>
            </w:pPr>
            <w:r w:rsidRPr="00CA40F1">
              <w:rPr>
                <w:b/>
                <w:bCs/>
                <w:sz w:val="20"/>
                <w:szCs w:val="20"/>
              </w:rPr>
              <w:t>Romex -norm 04</w:t>
            </w:r>
          </w:p>
        </w:tc>
      </w:tr>
      <w:tr w:rsidR="000357ED" w14:paraId="2D7A077F" w14:textId="77777777" w:rsidTr="00EC308C">
        <w:tc>
          <w:tcPr>
            <w:tcW w:w="1838" w:type="dxa"/>
          </w:tcPr>
          <w:p w14:paraId="167897E4" w14:textId="07F82A3C" w:rsidR="000357ED" w:rsidRPr="00CA40F1" w:rsidRDefault="00F1447C">
            <w:pPr>
              <w:rPr>
                <w:b/>
                <w:bCs/>
                <w:sz w:val="20"/>
                <w:szCs w:val="20"/>
              </w:rPr>
            </w:pPr>
            <w:r>
              <w:rPr>
                <w:b/>
                <w:bCs/>
                <w:sz w:val="20"/>
                <w:szCs w:val="20"/>
              </w:rPr>
              <w:t xml:space="preserve">Application Temperature </w:t>
            </w:r>
          </w:p>
        </w:tc>
        <w:tc>
          <w:tcPr>
            <w:tcW w:w="2478" w:type="dxa"/>
            <w:gridSpan w:val="2"/>
          </w:tcPr>
          <w:p w14:paraId="4639ABA1" w14:textId="2112A46B" w:rsidR="000357ED" w:rsidRPr="00CA40F1" w:rsidRDefault="000357ED">
            <w:pPr>
              <w:rPr>
                <w:b/>
                <w:bCs/>
                <w:sz w:val="20"/>
                <w:szCs w:val="20"/>
              </w:rPr>
            </w:pPr>
            <w:r w:rsidRPr="00CA40F1">
              <w:rPr>
                <w:b/>
                <w:bCs/>
                <w:sz w:val="20"/>
                <w:szCs w:val="20"/>
              </w:rPr>
              <w:t xml:space="preserve">-10c/30f up to 30c/86f at lower temps. Hardening </w:t>
            </w:r>
            <w:r w:rsidR="00B20BCC" w:rsidRPr="00CA40F1">
              <w:rPr>
                <w:b/>
                <w:bCs/>
                <w:sz w:val="20"/>
                <w:szCs w:val="20"/>
              </w:rPr>
              <w:t>slows</w:t>
            </w:r>
            <w:r w:rsidR="00B20BCC">
              <w:rPr>
                <w:b/>
                <w:bCs/>
                <w:sz w:val="20"/>
                <w:szCs w:val="20"/>
              </w:rPr>
              <w:t>.</w:t>
            </w:r>
            <w:r w:rsidR="00B20BCC" w:rsidRPr="00CA40F1">
              <w:rPr>
                <w:b/>
                <w:bCs/>
                <w:sz w:val="20"/>
                <w:szCs w:val="20"/>
              </w:rPr>
              <w:t xml:space="preserve"> Higher</w:t>
            </w:r>
            <w:r w:rsidRPr="00CA40F1">
              <w:rPr>
                <w:b/>
                <w:bCs/>
                <w:sz w:val="20"/>
                <w:szCs w:val="20"/>
              </w:rPr>
              <w:t xml:space="preserve"> temps</w:t>
            </w:r>
            <w:r w:rsidR="00B20BCC">
              <w:rPr>
                <w:b/>
                <w:bCs/>
                <w:sz w:val="20"/>
                <w:szCs w:val="20"/>
              </w:rPr>
              <w:t>.</w:t>
            </w:r>
            <w:r w:rsidRPr="00CA40F1">
              <w:rPr>
                <w:b/>
                <w:bCs/>
                <w:sz w:val="20"/>
                <w:szCs w:val="20"/>
              </w:rPr>
              <w:t xml:space="preserve"> speeds hardening </w:t>
            </w:r>
          </w:p>
        </w:tc>
      </w:tr>
      <w:tr w:rsidR="000357ED" w14:paraId="6C2B8E74" w14:textId="77777777" w:rsidTr="002F3DD8">
        <w:tc>
          <w:tcPr>
            <w:tcW w:w="1838" w:type="dxa"/>
          </w:tcPr>
          <w:p w14:paraId="3D7E5BF8" w14:textId="65D11DA8" w:rsidR="000357ED" w:rsidRPr="00CA40F1" w:rsidRDefault="000357ED">
            <w:pPr>
              <w:rPr>
                <w:b/>
                <w:bCs/>
                <w:sz w:val="20"/>
                <w:szCs w:val="20"/>
              </w:rPr>
            </w:pPr>
            <w:r w:rsidRPr="00CA40F1">
              <w:rPr>
                <w:b/>
                <w:bCs/>
                <w:sz w:val="20"/>
                <w:szCs w:val="20"/>
              </w:rPr>
              <w:t>Re-opening of surface @ 20c/68f</w:t>
            </w:r>
          </w:p>
        </w:tc>
        <w:tc>
          <w:tcPr>
            <w:tcW w:w="2478" w:type="dxa"/>
            <w:gridSpan w:val="2"/>
          </w:tcPr>
          <w:p w14:paraId="5CA2C9FB" w14:textId="53E525DD" w:rsidR="000357ED" w:rsidRPr="00CA40F1" w:rsidRDefault="000357ED">
            <w:pPr>
              <w:rPr>
                <w:b/>
                <w:bCs/>
                <w:sz w:val="20"/>
                <w:szCs w:val="20"/>
              </w:rPr>
            </w:pPr>
            <w:r w:rsidRPr="00CA40F1">
              <w:rPr>
                <w:b/>
                <w:bCs/>
                <w:sz w:val="20"/>
                <w:szCs w:val="20"/>
              </w:rPr>
              <w:t xml:space="preserve">Can be walked on in 2 hours </w:t>
            </w:r>
          </w:p>
        </w:tc>
      </w:tr>
      <w:tr w:rsidR="000357ED" w14:paraId="6109EE84" w14:textId="77777777" w:rsidTr="00AA47C4">
        <w:tc>
          <w:tcPr>
            <w:tcW w:w="1838" w:type="dxa"/>
          </w:tcPr>
          <w:p w14:paraId="5E04E409" w14:textId="2D63F5C9" w:rsidR="000357ED" w:rsidRPr="00CA40F1" w:rsidRDefault="000357ED">
            <w:pPr>
              <w:rPr>
                <w:b/>
                <w:bCs/>
                <w:sz w:val="20"/>
                <w:szCs w:val="20"/>
              </w:rPr>
            </w:pPr>
            <w:r w:rsidRPr="00CA40F1">
              <w:rPr>
                <w:b/>
                <w:bCs/>
                <w:sz w:val="20"/>
                <w:szCs w:val="20"/>
              </w:rPr>
              <w:t xml:space="preserve">Shelf Life </w:t>
            </w:r>
          </w:p>
        </w:tc>
        <w:tc>
          <w:tcPr>
            <w:tcW w:w="2478" w:type="dxa"/>
            <w:gridSpan w:val="2"/>
          </w:tcPr>
          <w:p w14:paraId="1832699A" w14:textId="6681F235" w:rsidR="000357ED" w:rsidRPr="00CA40F1" w:rsidRDefault="000357ED">
            <w:pPr>
              <w:rPr>
                <w:b/>
                <w:bCs/>
                <w:sz w:val="20"/>
                <w:szCs w:val="20"/>
              </w:rPr>
            </w:pPr>
            <w:r w:rsidRPr="00CA40F1">
              <w:rPr>
                <w:b/>
                <w:bCs/>
                <w:sz w:val="20"/>
                <w:szCs w:val="20"/>
              </w:rPr>
              <w:t>24 Months, Frost Free</w:t>
            </w:r>
          </w:p>
        </w:tc>
      </w:tr>
    </w:tbl>
    <w:tbl>
      <w:tblPr>
        <w:tblStyle w:val="TableGrid"/>
        <w:tblpPr w:leftFromText="180" w:rightFromText="180" w:vertAnchor="page" w:horzAnchor="margin" w:tblpXSpec="right" w:tblpY="9013"/>
        <w:tblW w:w="0" w:type="auto"/>
        <w:tblLook w:val="04A0" w:firstRow="1" w:lastRow="0" w:firstColumn="1" w:lastColumn="0" w:noHBand="0" w:noVBand="1"/>
      </w:tblPr>
      <w:tblGrid>
        <w:gridCol w:w="2219"/>
        <w:gridCol w:w="2097"/>
      </w:tblGrid>
      <w:tr w:rsidR="00E97255" w14:paraId="4BB80A83" w14:textId="77777777" w:rsidTr="00E97255">
        <w:tc>
          <w:tcPr>
            <w:tcW w:w="2219" w:type="dxa"/>
          </w:tcPr>
          <w:p w14:paraId="3849C603" w14:textId="77777777" w:rsidR="00E97255" w:rsidRPr="008652A2" w:rsidRDefault="00E97255" w:rsidP="00E97255">
            <w:pPr>
              <w:rPr>
                <w:sz w:val="28"/>
                <w:szCs w:val="28"/>
              </w:rPr>
            </w:pPr>
            <w:r w:rsidRPr="008652A2">
              <w:rPr>
                <w:sz w:val="28"/>
                <w:szCs w:val="28"/>
              </w:rPr>
              <w:t>Romex D4000 Consumption Chart</w:t>
            </w:r>
          </w:p>
        </w:tc>
        <w:tc>
          <w:tcPr>
            <w:tcW w:w="2097" w:type="dxa"/>
          </w:tcPr>
          <w:p w14:paraId="013E3D08" w14:textId="77777777" w:rsidR="00E97255" w:rsidRPr="008652A2" w:rsidRDefault="00E97255" w:rsidP="00E97255">
            <w:pPr>
              <w:rPr>
                <w:sz w:val="28"/>
                <w:szCs w:val="28"/>
              </w:rPr>
            </w:pPr>
            <w:r w:rsidRPr="008652A2">
              <w:rPr>
                <w:sz w:val="28"/>
                <w:szCs w:val="28"/>
              </w:rPr>
              <w:t xml:space="preserve">D4000 resin + 40 lbs of sand = .4 cubic feet </w:t>
            </w:r>
          </w:p>
        </w:tc>
      </w:tr>
      <w:tr w:rsidR="00E97255" w14:paraId="0DE787A0" w14:textId="77777777" w:rsidTr="00E97255">
        <w:tc>
          <w:tcPr>
            <w:tcW w:w="2219" w:type="dxa"/>
          </w:tcPr>
          <w:p w14:paraId="6E781CAE" w14:textId="77777777" w:rsidR="00E97255" w:rsidRPr="008652A2" w:rsidRDefault="00E97255" w:rsidP="00E97255">
            <w:pPr>
              <w:rPr>
                <w:b/>
                <w:bCs/>
                <w:sz w:val="28"/>
                <w:szCs w:val="28"/>
              </w:rPr>
            </w:pPr>
            <w:r w:rsidRPr="008652A2">
              <w:rPr>
                <w:b/>
                <w:bCs/>
                <w:sz w:val="28"/>
                <w:szCs w:val="28"/>
              </w:rPr>
              <w:t xml:space="preserve">Depth </w:t>
            </w:r>
          </w:p>
        </w:tc>
        <w:tc>
          <w:tcPr>
            <w:tcW w:w="2097" w:type="dxa"/>
          </w:tcPr>
          <w:p w14:paraId="10F12365" w14:textId="77777777" w:rsidR="00E97255" w:rsidRPr="008652A2" w:rsidRDefault="00E97255" w:rsidP="00E97255">
            <w:pPr>
              <w:rPr>
                <w:b/>
                <w:bCs/>
                <w:sz w:val="28"/>
                <w:szCs w:val="28"/>
              </w:rPr>
            </w:pPr>
            <w:r w:rsidRPr="008652A2">
              <w:rPr>
                <w:b/>
                <w:bCs/>
                <w:sz w:val="28"/>
                <w:szCs w:val="28"/>
              </w:rPr>
              <w:t xml:space="preserve">Coverage </w:t>
            </w:r>
          </w:p>
        </w:tc>
      </w:tr>
      <w:tr w:rsidR="00E97255" w14:paraId="6C5E666F" w14:textId="77777777" w:rsidTr="00E97255">
        <w:tc>
          <w:tcPr>
            <w:tcW w:w="2219" w:type="dxa"/>
          </w:tcPr>
          <w:p w14:paraId="064AC5DE" w14:textId="77777777" w:rsidR="00E97255" w:rsidRDefault="00E97255" w:rsidP="00E97255">
            <w:r>
              <w:t>3/8”</w:t>
            </w:r>
          </w:p>
        </w:tc>
        <w:tc>
          <w:tcPr>
            <w:tcW w:w="2097" w:type="dxa"/>
          </w:tcPr>
          <w:p w14:paraId="7D9586B9" w14:textId="77777777" w:rsidR="00E97255" w:rsidRDefault="00E97255" w:rsidP="00E97255">
            <w:r>
              <w:t xml:space="preserve">12.8 </w:t>
            </w:r>
            <w:proofErr w:type="spellStart"/>
            <w:r>
              <w:t>sqft</w:t>
            </w:r>
            <w:proofErr w:type="spellEnd"/>
          </w:p>
        </w:tc>
      </w:tr>
      <w:tr w:rsidR="00E97255" w14:paraId="0E09E9BF" w14:textId="77777777" w:rsidTr="00E97255">
        <w:tc>
          <w:tcPr>
            <w:tcW w:w="2219" w:type="dxa"/>
          </w:tcPr>
          <w:p w14:paraId="7C8C9AA5" w14:textId="77777777" w:rsidR="00E97255" w:rsidRDefault="00E97255" w:rsidP="00E97255">
            <w:r>
              <w:t>½”</w:t>
            </w:r>
          </w:p>
        </w:tc>
        <w:tc>
          <w:tcPr>
            <w:tcW w:w="2097" w:type="dxa"/>
          </w:tcPr>
          <w:p w14:paraId="3915A28E" w14:textId="77777777" w:rsidR="00E97255" w:rsidRDefault="00E97255" w:rsidP="00E97255">
            <w:r>
              <w:t xml:space="preserve">9.6 </w:t>
            </w:r>
            <w:proofErr w:type="spellStart"/>
            <w:r>
              <w:t>sqft</w:t>
            </w:r>
            <w:proofErr w:type="spellEnd"/>
          </w:p>
        </w:tc>
      </w:tr>
      <w:tr w:rsidR="00E97255" w14:paraId="35495CE1" w14:textId="77777777" w:rsidTr="00E97255">
        <w:tc>
          <w:tcPr>
            <w:tcW w:w="2219" w:type="dxa"/>
          </w:tcPr>
          <w:p w14:paraId="2D58F4CB" w14:textId="77777777" w:rsidR="00E97255" w:rsidRDefault="00E97255" w:rsidP="00E97255">
            <w:r>
              <w:t>5/8”</w:t>
            </w:r>
          </w:p>
        </w:tc>
        <w:tc>
          <w:tcPr>
            <w:tcW w:w="2097" w:type="dxa"/>
          </w:tcPr>
          <w:p w14:paraId="48B3D042" w14:textId="77777777" w:rsidR="00E97255" w:rsidRDefault="00E97255" w:rsidP="00E97255">
            <w:r>
              <w:t xml:space="preserve">7.68 </w:t>
            </w:r>
            <w:proofErr w:type="spellStart"/>
            <w:r>
              <w:t>sqft</w:t>
            </w:r>
            <w:proofErr w:type="spellEnd"/>
          </w:p>
        </w:tc>
      </w:tr>
      <w:tr w:rsidR="00E97255" w14:paraId="2B950171" w14:textId="77777777" w:rsidTr="00E97255">
        <w:tc>
          <w:tcPr>
            <w:tcW w:w="2219" w:type="dxa"/>
          </w:tcPr>
          <w:p w14:paraId="5A7CE29A" w14:textId="77777777" w:rsidR="00E97255" w:rsidRDefault="00E97255" w:rsidP="00E97255">
            <w:r>
              <w:t>¾”</w:t>
            </w:r>
          </w:p>
        </w:tc>
        <w:tc>
          <w:tcPr>
            <w:tcW w:w="2097" w:type="dxa"/>
          </w:tcPr>
          <w:p w14:paraId="040E1700" w14:textId="77777777" w:rsidR="00E97255" w:rsidRDefault="00E97255" w:rsidP="00E97255">
            <w:r>
              <w:t xml:space="preserve">6.4 </w:t>
            </w:r>
            <w:proofErr w:type="spellStart"/>
            <w:r>
              <w:t>sqft</w:t>
            </w:r>
            <w:proofErr w:type="spellEnd"/>
          </w:p>
        </w:tc>
      </w:tr>
      <w:tr w:rsidR="00E97255" w14:paraId="0C1550B5" w14:textId="77777777" w:rsidTr="00E97255">
        <w:tc>
          <w:tcPr>
            <w:tcW w:w="2219" w:type="dxa"/>
          </w:tcPr>
          <w:p w14:paraId="0E650680" w14:textId="77777777" w:rsidR="00E97255" w:rsidRDefault="00E97255" w:rsidP="00E97255">
            <w:r>
              <w:t>7/8”</w:t>
            </w:r>
          </w:p>
        </w:tc>
        <w:tc>
          <w:tcPr>
            <w:tcW w:w="2097" w:type="dxa"/>
          </w:tcPr>
          <w:p w14:paraId="54B703B0" w14:textId="77777777" w:rsidR="00E97255" w:rsidRDefault="00E97255" w:rsidP="00E97255">
            <w:r>
              <w:t xml:space="preserve">5.48 </w:t>
            </w:r>
            <w:proofErr w:type="spellStart"/>
            <w:r>
              <w:t>sqft</w:t>
            </w:r>
            <w:proofErr w:type="spellEnd"/>
          </w:p>
        </w:tc>
      </w:tr>
      <w:tr w:rsidR="00E97255" w14:paraId="1E6BF749" w14:textId="77777777" w:rsidTr="00E97255">
        <w:tc>
          <w:tcPr>
            <w:tcW w:w="2219" w:type="dxa"/>
          </w:tcPr>
          <w:p w14:paraId="28C5D419" w14:textId="77777777" w:rsidR="00E97255" w:rsidRDefault="00E97255" w:rsidP="00E97255">
            <w:r>
              <w:t>1”</w:t>
            </w:r>
          </w:p>
        </w:tc>
        <w:tc>
          <w:tcPr>
            <w:tcW w:w="2097" w:type="dxa"/>
          </w:tcPr>
          <w:p w14:paraId="48667A3B" w14:textId="77777777" w:rsidR="00E97255" w:rsidRDefault="00E97255" w:rsidP="00E97255">
            <w:r>
              <w:t xml:space="preserve">4.8 </w:t>
            </w:r>
            <w:proofErr w:type="spellStart"/>
            <w:r>
              <w:t>sqft</w:t>
            </w:r>
            <w:proofErr w:type="spellEnd"/>
          </w:p>
        </w:tc>
      </w:tr>
      <w:tr w:rsidR="00E97255" w14:paraId="3BD7DB86" w14:textId="77777777" w:rsidTr="00E97255">
        <w:tc>
          <w:tcPr>
            <w:tcW w:w="2219" w:type="dxa"/>
          </w:tcPr>
          <w:p w14:paraId="2EFA7ACC" w14:textId="77777777" w:rsidR="00E97255" w:rsidRDefault="00E97255" w:rsidP="00E97255">
            <w:r>
              <w:t xml:space="preserve">1 1/4”  </w:t>
            </w:r>
          </w:p>
        </w:tc>
        <w:tc>
          <w:tcPr>
            <w:tcW w:w="2097" w:type="dxa"/>
          </w:tcPr>
          <w:p w14:paraId="5A459E54" w14:textId="77777777" w:rsidR="00E97255" w:rsidRDefault="00E97255" w:rsidP="00E97255">
            <w:r>
              <w:t xml:space="preserve">3.84 </w:t>
            </w:r>
            <w:proofErr w:type="spellStart"/>
            <w:r>
              <w:t>sqft</w:t>
            </w:r>
            <w:proofErr w:type="spellEnd"/>
            <w:r>
              <w:t xml:space="preserve"> </w:t>
            </w:r>
          </w:p>
        </w:tc>
      </w:tr>
      <w:tr w:rsidR="00E97255" w14:paraId="756E215E" w14:textId="77777777" w:rsidTr="00E97255">
        <w:tc>
          <w:tcPr>
            <w:tcW w:w="2219" w:type="dxa"/>
          </w:tcPr>
          <w:p w14:paraId="630D89CE" w14:textId="77777777" w:rsidR="00E97255" w:rsidRDefault="00E97255" w:rsidP="00E97255">
            <w:r>
              <w:t>1 ½”</w:t>
            </w:r>
          </w:p>
        </w:tc>
        <w:tc>
          <w:tcPr>
            <w:tcW w:w="2097" w:type="dxa"/>
          </w:tcPr>
          <w:p w14:paraId="196C93C8" w14:textId="77777777" w:rsidR="00E97255" w:rsidRDefault="00E97255" w:rsidP="00E97255">
            <w:r>
              <w:t xml:space="preserve">3.2 </w:t>
            </w:r>
            <w:proofErr w:type="spellStart"/>
            <w:r>
              <w:t>sqft</w:t>
            </w:r>
            <w:proofErr w:type="spellEnd"/>
          </w:p>
        </w:tc>
      </w:tr>
      <w:tr w:rsidR="00E97255" w14:paraId="6FEFB1CA" w14:textId="77777777" w:rsidTr="00E97255">
        <w:tc>
          <w:tcPr>
            <w:tcW w:w="2219" w:type="dxa"/>
          </w:tcPr>
          <w:p w14:paraId="1D02F874" w14:textId="77777777" w:rsidR="00E97255" w:rsidRDefault="00E97255" w:rsidP="00E97255">
            <w:r>
              <w:t xml:space="preserve">1 3/4” </w:t>
            </w:r>
          </w:p>
        </w:tc>
        <w:tc>
          <w:tcPr>
            <w:tcW w:w="2097" w:type="dxa"/>
          </w:tcPr>
          <w:p w14:paraId="160243CC" w14:textId="77777777" w:rsidR="00E97255" w:rsidRDefault="00E97255" w:rsidP="00E97255">
            <w:r>
              <w:t xml:space="preserve">2.74 </w:t>
            </w:r>
            <w:proofErr w:type="spellStart"/>
            <w:r>
              <w:t>sqft</w:t>
            </w:r>
            <w:proofErr w:type="spellEnd"/>
          </w:p>
        </w:tc>
      </w:tr>
      <w:tr w:rsidR="00E97255" w14:paraId="753203C8" w14:textId="77777777" w:rsidTr="00E97255">
        <w:tc>
          <w:tcPr>
            <w:tcW w:w="2219" w:type="dxa"/>
          </w:tcPr>
          <w:p w14:paraId="59847390" w14:textId="77777777" w:rsidR="00E97255" w:rsidRDefault="00E97255" w:rsidP="00E97255">
            <w:r>
              <w:t>2”</w:t>
            </w:r>
          </w:p>
        </w:tc>
        <w:tc>
          <w:tcPr>
            <w:tcW w:w="2097" w:type="dxa"/>
          </w:tcPr>
          <w:p w14:paraId="49524BC8" w14:textId="77777777" w:rsidR="00E97255" w:rsidRDefault="00E97255" w:rsidP="00E97255">
            <w:r>
              <w:t xml:space="preserve">2.4 </w:t>
            </w:r>
            <w:proofErr w:type="spellStart"/>
            <w:r>
              <w:t>sqft</w:t>
            </w:r>
            <w:proofErr w:type="spellEnd"/>
          </w:p>
        </w:tc>
      </w:tr>
      <w:tr w:rsidR="00E97255" w14:paraId="41F555D8" w14:textId="77777777" w:rsidTr="00E97255">
        <w:tc>
          <w:tcPr>
            <w:tcW w:w="2219" w:type="dxa"/>
          </w:tcPr>
          <w:p w14:paraId="1AC7FE7A" w14:textId="77777777" w:rsidR="00E97255" w:rsidRDefault="00E97255" w:rsidP="00E97255">
            <w:r>
              <w:t>2 ½”</w:t>
            </w:r>
          </w:p>
        </w:tc>
        <w:tc>
          <w:tcPr>
            <w:tcW w:w="2097" w:type="dxa"/>
          </w:tcPr>
          <w:p w14:paraId="057A5AAD" w14:textId="77777777" w:rsidR="00E97255" w:rsidRDefault="00E97255" w:rsidP="00E97255">
            <w:r>
              <w:t xml:space="preserve">1.92 </w:t>
            </w:r>
            <w:proofErr w:type="spellStart"/>
            <w:r>
              <w:t>sqft</w:t>
            </w:r>
            <w:proofErr w:type="spellEnd"/>
          </w:p>
        </w:tc>
      </w:tr>
      <w:tr w:rsidR="00E97255" w14:paraId="21B468C1" w14:textId="77777777" w:rsidTr="00E97255">
        <w:tc>
          <w:tcPr>
            <w:tcW w:w="2219" w:type="dxa"/>
          </w:tcPr>
          <w:p w14:paraId="7BEB25BE" w14:textId="77777777" w:rsidR="00E97255" w:rsidRDefault="00E97255" w:rsidP="00E97255">
            <w:r>
              <w:t>3”</w:t>
            </w:r>
          </w:p>
        </w:tc>
        <w:tc>
          <w:tcPr>
            <w:tcW w:w="2097" w:type="dxa"/>
          </w:tcPr>
          <w:p w14:paraId="0713E7E8" w14:textId="77777777" w:rsidR="00E97255" w:rsidRDefault="00E97255" w:rsidP="00E97255">
            <w:r>
              <w:t xml:space="preserve">1.6 </w:t>
            </w:r>
            <w:proofErr w:type="spellStart"/>
            <w:r>
              <w:t>sqft</w:t>
            </w:r>
            <w:proofErr w:type="spellEnd"/>
          </w:p>
        </w:tc>
      </w:tr>
      <w:tr w:rsidR="00E97255" w14:paraId="7199C99C" w14:textId="77777777" w:rsidTr="00E97255">
        <w:tc>
          <w:tcPr>
            <w:tcW w:w="2219" w:type="dxa"/>
          </w:tcPr>
          <w:p w14:paraId="212373CE" w14:textId="77777777" w:rsidR="00E97255" w:rsidRDefault="00E97255" w:rsidP="00E97255">
            <w:r>
              <w:t>4”</w:t>
            </w:r>
          </w:p>
        </w:tc>
        <w:tc>
          <w:tcPr>
            <w:tcW w:w="2097" w:type="dxa"/>
          </w:tcPr>
          <w:p w14:paraId="681E6872" w14:textId="77777777" w:rsidR="00E97255" w:rsidRDefault="00E97255" w:rsidP="00E97255">
            <w:r>
              <w:t xml:space="preserve">1.2 </w:t>
            </w:r>
            <w:proofErr w:type="spellStart"/>
            <w:r>
              <w:t>sqft</w:t>
            </w:r>
            <w:proofErr w:type="spellEnd"/>
          </w:p>
        </w:tc>
      </w:tr>
      <w:tr w:rsidR="00E97255" w14:paraId="63F7396B" w14:textId="77777777" w:rsidTr="00E97255">
        <w:tc>
          <w:tcPr>
            <w:tcW w:w="2219" w:type="dxa"/>
          </w:tcPr>
          <w:p w14:paraId="33D84A9A" w14:textId="77777777" w:rsidR="00E97255" w:rsidRDefault="00E97255" w:rsidP="00E97255">
            <w:r>
              <w:t>6”</w:t>
            </w:r>
          </w:p>
        </w:tc>
        <w:tc>
          <w:tcPr>
            <w:tcW w:w="2097" w:type="dxa"/>
          </w:tcPr>
          <w:p w14:paraId="0BB2C333" w14:textId="77777777" w:rsidR="00E97255" w:rsidRDefault="00E97255" w:rsidP="00E97255">
            <w:r>
              <w:t xml:space="preserve">0.8 </w:t>
            </w:r>
            <w:proofErr w:type="spellStart"/>
            <w:r>
              <w:t>sqft</w:t>
            </w:r>
            <w:proofErr w:type="spellEnd"/>
            <w:r>
              <w:t xml:space="preserve"> </w:t>
            </w:r>
          </w:p>
        </w:tc>
      </w:tr>
    </w:tbl>
    <w:p w14:paraId="557BB046" w14:textId="77777777" w:rsidR="00A62393" w:rsidRDefault="00A62393">
      <w:pPr>
        <w:rPr>
          <w:b/>
          <w:bCs/>
          <w:sz w:val="24"/>
          <w:szCs w:val="24"/>
        </w:rPr>
      </w:pPr>
    </w:p>
    <w:sectPr w:rsidR="00A62393" w:rsidSect="00DD5C7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AE3F9" w14:textId="77777777" w:rsidR="0022219C" w:rsidRDefault="0022219C" w:rsidP="00DD5C74">
      <w:pPr>
        <w:spacing w:after="0" w:line="240" w:lineRule="auto"/>
      </w:pPr>
      <w:r>
        <w:separator/>
      </w:r>
    </w:p>
  </w:endnote>
  <w:endnote w:type="continuationSeparator" w:id="0">
    <w:p w14:paraId="7B07C7F3" w14:textId="77777777" w:rsidR="0022219C" w:rsidRDefault="0022219C" w:rsidP="00DD5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B0090" w14:textId="77777777" w:rsidR="00283024" w:rsidRDefault="002830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B012F" w14:textId="6B36BFE7" w:rsidR="00A62393" w:rsidRDefault="00A62393">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5C1EB" w14:textId="77777777" w:rsidR="00283024" w:rsidRDefault="002830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D1A0B" w14:textId="77777777" w:rsidR="0022219C" w:rsidRDefault="0022219C" w:rsidP="00DD5C74">
      <w:pPr>
        <w:spacing w:after="0" w:line="240" w:lineRule="auto"/>
      </w:pPr>
      <w:r>
        <w:separator/>
      </w:r>
    </w:p>
  </w:footnote>
  <w:footnote w:type="continuationSeparator" w:id="0">
    <w:p w14:paraId="6D3E99CC" w14:textId="77777777" w:rsidR="0022219C" w:rsidRDefault="0022219C" w:rsidP="00DD5C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B586E" w14:textId="77777777" w:rsidR="00283024" w:rsidRDefault="002830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F63CB" w14:textId="04265016" w:rsidR="00DD5C74" w:rsidRDefault="00E97255" w:rsidP="00E97255">
    <w:pPr>
      <w:rPr>
        <w:b/>
        <w:bCs/>
        <w:sz w:val="20"/>
        <w:szCs w:val="20"/>
      </w:rPr>
    </w:pPr>
    <w:r>
      <w:rPr>
        <w:b/>
        <w:bCs/>
        <w:noProof/>
        <w:sz w:val="40"/>
        <w:szCs w:val="40"/>
      </w:rPr>
      <w:drawing>
        <wp:anchor distT="0" distB="0" distL="114300" distR="114300" simplePos="0" relativeHeight="251658240" behindDoc="1" locked="0" layoutInCell="1" allowOverlap="1" wp14:anchorId="62BE2446" wp14:editId="4BFEF993">
          <wp:simplePos x="0" y="0"/>
          <wp:positionH relativeFrom="column">
            <wp:posOffset>4259580</wp:posOffset>
          </wp:positionH>
          <wp:positionV relativeFrom="paragraph">
            <wp:posOffset>-220980</wp:posOffset>
          </wp:positionV>
          <wp:extent cx="2179246" cy="797477"/>
          <wp:effectExtent l="0" t="0" r="0" b="317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1">
                    <a:extLst>
                      <a:ext uri="{28A0092B-C50C-407E-A947-70E740481C1C}">
                        <a14:useLocalDpi xmlns:a14="http://schemas.microsoft.com/office/drawing/2010/main" val="0"/>
                      </a:ext>
                    </a:extLst>
                  </a:blip>
                  <a:srcRect l="3654" t="6358" r="3462"/>
                  <a:stretch/>
                </pic:blipFill>
                <pic:spPr bwMode="auto">
                  <a:xfrm>
                    <a:off x="0" y="0"/>
                    <a:ext cx="2179246" cy="79747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E0CFC" w:rsidRPr="00CE0CFC">
      <w:rPr>
        <w:b/>
        <w:bCs/>
        <w:sz w:val="40"/>
        <w:szCs w:val="40"/>
      </w:rPr>
      <w:t xml:space="preserve">Romex D4000 </w:t>
    </w:r>
    <w:r w:rsidR="00CE0CFC">
      <w:rPr>
        <w:b/>
        <w:bCs/>
        <w:sz w:val="40"/>
        <w:szCs w:val="40"/>
      </w:rPr>
      <w:t xml:space="preserve">HR – </w:t>
    </w:r>
    <w:r w:rsidR="00283024">
      <w:rPr>
        <w:b/>
        <w:bCs/>
        <w:sz w:val="40"/>
        <w:szCs w:val="40"/>
      </w:rPr>
      <w:t>Estimating</w:t>
    </w:r>
    <w:r>
      <w:rPr>
        <w:b/>
        <w:bCs/>
        <w:sz w:val="40"/>
        <w:szCs w:val="40"/>
      </w:rPr>
      <w:t xml:space="preserve"> Guide</w:t>
    </w:r>
    <w:r w:rsidR="00CE0CFC">
      <w:rPr>
        <w:b/>
        <w:bCs/>
        <w:sz w:val="40"/>
        <w:szCs w:val="40"/>
      </w:rPr>
      <w:t xml:space="preserve">       </w:t>
    </w:r>
  </w:p>
  <w:p w14:paraId="52BE6AC0" w14:textId="77777777" w:rsidR="00E97255" w:rsidRPr="00E97255" w:rsidRDefault="00E97255" w:rsidP="00E97255">
    <w:pPr>
      <w:spacing w:after="0"/>
      <w:rPr>
        <w:b/>
        <w:bCs/>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02CA8" w14:textId="77777777" w:rsidR="00283024" w:rsidRDefault="002830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6F538D"/>
    <w:multiLevelType w:val="multilevel"/>
    <w:tmpl w:val="292AA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7510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4C8"/>
    <w:rsid w:val="00012395"/>
    <w:rsid w:val="000357ED"/>
    <w:rsid w:val="00153D9F"/>
    <w:rsid w:val="001C2D1E"/>
    <w:rsid w:val="002075CB"/>
    <w:rsid w:val="0022219C"/>
    <w:rsid w:val="00283024"/>
    <w:rsid w:val="002934C8"/>
    <w:rsid w:val="004627C9"/>
    <w:rsid w:val="00481922"/>
    <w:rsid w:val="008652A2"/>
    <w:rsid w:val="00A62393"/>
    <w:rsid w:val="00B20BCC"/>
    <w:rsid w:val="00CA40F1"/>
    <w:rsid w:val="00CE0CFC"/>
    <w:rsid w:val="00D24ACA"/>
    <w:rsid w:val="00D41C5A"/>
    <w:rsid w:val="00DA15A3"/>
    <w:rsid w:val="00DD5C74"/>
    <w:rsid w:val="00E6156A"/>
    <w:rsid w:val="00E97255"/>
    <w:rsid w:val="00F1447C"/>
    <w:rsid w:val="00FD46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6DC682"/>
  <w15:chartTrackingRefBased/>
  <w15:docId w15:val="{55A899BC-2C95-406F-BA2A-32D9B2498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3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5C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C74"/>
  </w:style>
  <w:style w:type="paragraph" w:styleId="Footer">
    <w:name w:val="footer"/>
    <w:basedOn w:val="Normal"/>
    <w:link w:val="FooterChar"/>
    <w:uiPriority w:val="99"/>
    <w:unhideWhenUsed/>
    <w:rsid w:val="00DD5C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C74"/>
  </w:style>
  <w:style w:type="paragraph" w:customStyle="1" w:styleId="sh-list-item">
    <w:name w:val="sh-list-item"/>
    <w:basedOn w:val="Normal"/>
    <w:rsid w:val="00CE0CF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h-list-icon">
    <w:name w:val="sh-list-icon"/>
    <w:basedOn w:val="DefaultParagraphFont"/>
    <w:rsid w:val="00CE0C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1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FE03E-71FE-4519-ABC2-F5FDE6A3A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Steinbach</dc:creator>
  <cp:keywords/>
  <dc:description/>
  <cp:lastModifiedBy>Richard Kirk</cp:lastModifiedBy>
  <cp:revision>2</cp:revision>
  <cp:lastPrinted>2020-10-09T01:32:00Z</cp:lastPrinted>
  <dcterms:created xsi:type="dcterms:W3CDTF">2022-12-15T20:32:00Z</dcterms:created>
  <dcterms:modified xsi:type="dcterms:W3CDTF">2022-12-15T20:32:00Z</dcterms:modified>
</cp:coreProperties>
</file>